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Послуга: Догляд стаціонарний</w:t>
      </w:r>
    </w:p>
    <w:p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Назва заходу: Надання соціальних послуг протягом  1 ліжко-дня.</w:t>
      </w:r>
    </w:p>
    <w:p>
      <w:pPr>
        <w:rPr>
          <w:rFonts w:ascii="Times New Roman" w:hAnsi="Times New Roman" w:cs="Times New Roman"/>
          <w:b/>
          <w:lang w:val="uk-UA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Розрахунок вартості платної соціальної послуги</w:t>
      </w:r>
    </w:p>
    <w:p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</w:t>
      </w:r>
    </w:p>
    <w:p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Відповідно методичних рекомендації розрахунку вартості соціальних послуг, затверджених наказом </w:t>
      </w:r>
      <w:proofErr w:type="spellStart"/>
      <w:r>
        <w:rPr>
          <w:rFonts w:ascii="Times New Roman" w:hAnsi="Times New Roman" w:cs="Times New Roman"/>
          <w:lang w:val="uk-UA"/>
        </w:rPr>
        <w:t>Мінсоцполітики</w:t>
      </w:r>
      <w:proofErr w:type="spellEnd"/>
      <w:r>
        <w:rPr>
          <w:rFonts w:ascii="Times New Roman" w:hAnsi="Times New Roman" w:cs="Times New Roman"/>
          <w:lang w:val="uk-UA"/>
        </w:rPr>
        <w:t xml:space="preserve"> від 07.12.2015р. № 1186 та збірника «Нормативи чисельності працівників територіальних центрів по соціальному обслуговуванню не6захищенних верств населення», затверджено наказом міністерства праці та соціальної політики України від 11.03.2002р. №140,рекомендована норма часу на одну послугу на 1 ліжко-день.</w:t>
      </w:r>
    </w:p>
    <w:p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</w:t>
      </w:r>
    </w:p>
    <w:p>
      <w:pPr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Прямі витрати надання послуги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4111"/>
        <w:gridCol w:w="1276"/>
        <w:gridCol w:w="2687"/>
      </w:tblGrid>
      <w:tr>
        <w:tc>
          <w:tcPr>
            <w:tcW w:w="1271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>№ п/п</w:t>
            </w:r>
          </w:p>
        </w:tc>
        <w:tc>
          <w:tcPr>
            <w:tcW w:w="4111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 xml:space="preserve">    Назва показника</w:t>
            </w:r>
          </w:p>
        </w:tc>
        <w:tc>
          <w:tcPr>
            <w:tcW w:w="1276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 xml:space="preserve">   Сума</w:t>
            </w:r>
          </w:p>
        </w:tc>
        <w:tc>
          <w:tcPr>
            <w:tcW w:w="2687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 xml:space="preserve">  За 1 ліжко-день</w:t>
            </w:r>
          </w:p>
        </w:tc>
      </w:tr>
      <w:tr>
        <w:tc>
          <w:tcPr>
            <w:tcW w:w="1271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11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>Заробітна плата та ЄСВ основного та допоміжного персоналу ( стаціонарне відділення)</w:t>
            </w:r>
          </w:p>
        </w:tc>
        <w:tc>
          <w:tcPr>
            <w:tcW w:w="1276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 xml:space="preserve">    1235705,00</w:t>
            </w:r>
          </w:p>
        </w:tc>
        <w:tc>
          <w:tcPr>
            <w:tcW w:w="2687" w:type="dxa"/>
          </w:tcPr>
          <w:p>
            <w:pPr>
              <w:pStyle w:val="a4"/>
              <w:rPr>
                <w:lang w:val="uk-UA"/>
              </w:rPr>
            </w:pPr>
          </w:p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>1235705:365:25=135,42</w:t>
            </w:r>
          </w:p>
        </w:tc>
      </w:tr>
      <w:tr>
        <w:tc>
          <w:tcPr>
            <w:tcW w:w="1271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111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>Матеріальна допомога на оздоровлення</w:t>
            </w:r>
          </w:p>
        </w:tc>
        <w:tc>
          <w:tcPr>
            <w:tcW w:w="1276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 xml:space="preserve">    44884,00</w:t>
            </w:r>
          </w:p>
        </w:tc>
        <w:tc>
          <w:tcPr>
            <w:tcW w:w="2687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>44884:365:25=4,92</w:t>
            </w:r>
          </w:p>
        </w:tc>
      </w:tr>
      <w:tr>
        <w:tc>
          <w:tcPr>
            <w:tcW w:w="1271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111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>Предмети, матеріали, обладнання та інвентар, що використовується для надання соціальної послуги</w:t>
            </w:r>
          </w:p>
        </w:tc>
        <w:tc>
          <w:tcPr>
            <w:tcW w:w="1276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</w:p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 xml:space="preserve">    51515,68 </w:t>
            </w:r>
          </w:p>
        </w:tc>
        <w:tc>
          <w:tcPr>
            <w:tcW w:w="2687" w:type="dxa"/>
          </w:tcPr>
          <w:p>
            <w:pPr>
              <w:pStyle w:val="a4"/>
              <w:rPr>
                <w:lang w:val="uk-UA"/>
              </w:rPr>
            </w:pPr>
          </w:p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 xml:space="preserve">                  5,65</w:t>
            </w:r>
          </w:p>
        </w:tc>
      </w:tr>
      <w:tr>
        <w:tc>
          <w:tcPr>
            <w:tcW w:w="1271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111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>Матеріальні витрати на медичне обслуговування</w:t>
            </w:r>
          </w:p>
        </w:tc>
        <w:tc>
          <w:tcPr>
            <w:tcW w:w="1276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 xml:space="preserve">                     27762,68</w:t>
            </w:r>
          </w:p>
        </w:tc>
        <w:tc>
          <w:tcPr>
            <w:tcW w:w="2687" w:type="dxa"/>
          </w:tcPr>
          <w:p>
            <w:pPr>
              <w:pStyle w:val="a4"/>
              <w:rPr>
                <w:lang w:val="uk-UA"/>
              </w:rPr>
            </w:pPr>
          </w:p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 xml:space="preserve">                   3,04</w:t>
            </w:r>
          </w:p>
        </w:tc>
      </w:tr>
      <w:tr>
        <w:tc>
          <w:tcPr>
            <w:tcW w:w="1271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111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>Матеріальні витрати на харчування</w:t>
            </w:r>
          </w:p>
        </w:tc>
        <w:tc>
          <w:tcPr>
            <w:tcW w:w="1276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>508981,00</w:t>
            </w:r>
          </w:p>
        </w:tc>
        <w:tc>
          <w:tcPr>
            <w:tcW w:w="2687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 xml:space="preserve">508981:365:25=55,78 </w:t>
            </w:r>
          </w:p>
        </w:tc>
      </w:tr>
      <w:tr>
        <w:trPr>
          <w:trHeight w:val="427"/>
        </w:trPr>
        <w:tc>
          <w:tcPr>
            <w:tcW w:w="1271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111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>Інші прямі витрати (знос ОЗ, спец обладнання, електроенергія)</w:t>
            </w:r>
          </w:p>
        </w:tc>
        <w:tc>
          <w:tcPr>
            <w:tcW w:w="1276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 xml:space="preserve">         101511,10</w:t>
            </w:r>
          </w:p>
        </w:tc>
        <w:tc>
          <w:tcPr>
            <w:tcW w:w="2687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 xml:space="preserve">               11,12</w:t>
            </w:r>
          </w:p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</w:p>
        </w:tc>
      </w:tr>
      <w:tr>
        <w:trPr>
          <w:trHeight w:val="401"/>
        </w:trPr>
        <w:tc>
          <w:tcPr>
            <w:tcW w:w="1271" w:type="dxa"/>
          </w:tcPr>
          <w:p>
            <w:pPr>
              <w:pStyle w:val="a4"/>
              <w:rPr>
                <w:lang w:val="uk-UA"/>
              </w:rPr>
            </w:pPr>
          </w:p>
        </w:tc>
        <w:tc>
          <w:tcPr>
            <w:tcW w:w="4111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 xml:space="preserve">                       Разом:            </w:t>
            </w:r>
          </w:p>
        </w:tc>
        <w:tc>
          <w:tcPr>
            <w:tcW w:w="1276" w:type="dxa"/>
          </w:tcPr>
          <w:p>
            <w:pPr>
              <w:pStyle w:val="a4"/>
              <w:rPr>
                <w:lang w:val="uk-UA"/>
              </w:rPr>
            </w:pPr>
          </w:p>
        </w:tc>
        <w:tc>
          <w:tcPr>
            <w:tcW w:w="2687" w:type="dxa"/>
          </w:tcPr>
          <w:p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 xml:space="preserve">             215,93</w:t>
            </w:r>
          </w:p>
          <w:p>
            <w:pPr>
              <w:pStyle w:val="a4"/>
              <w:rPr>
                <w:lang w:val="uk-UA"/>
              </w:rPr>
            </w:pPr>
          </w:p>
        </w:tc>
      </w:tr>
    </w:tbl>
    <w:p>
      <w:pPr>
        <w:tabs>
          <w:tab w:val="center" w:pos="4677"/>
          <w:tab w:val="left" w:pos="8670"/>
        </w:tabs>
      </w:pPr>
      <w:r>
        <w:rPr>
          <w:rFonts w:ascii="Times New Roman" w:hAnsi="Times New Roman" w:cs="Times New Roman"/>
          <w:b/>
        </w:rPr>
        <w:tab/>
      </w:r>
    </w:p>
    <w:p>
      <w:pPr>
        <w:pStyle w:val="a4"/>
        <w:rPr>
          <w:sz w:val="24"/>
          <w:lang w:val="uk-UA"/>
        </w:rPr>
      </w:pPr>
      <w:r>
        <w:rPr>
          <w:sz w:val="24"/>
          <w:lang w:val="uk-UA"/>
        </w:rPr>
        <w:t>Прямі витрати</w:t>
      </w:r>
    </w:p>
    <w:p>
      <w:pPr>
        <w:pStyle w:val="a4"/>
        <w:rPr>
          <w:sz w:val="24"/>
          <w:lang w:val="uk-UA"/>
        </w:rPr>
      </w:pPr>
      <w:r>
        <w:rPr>
          <w:sz w:val="24"/>
          <w:lang w:val="uk-UA"/>
        </w:rPr>
        <w:t>(135,42+4,92+5,65+3,04+55,78+11,12)=215,93грн.</w:t>
      </w:r>
    </w:p>
    <w:p>
      <w:pPr>
        <w:pStyle w:val="a4"/>
        <w:rPr>
          <w:sz w:val="24"/>
          <w:lang w:val="uk-UA"/>
        </w:rPr>
      </w:pPr>
      <w:r>
        <w:rPr>
          <w:sz w:val="24"/>
          <w:lang w:val="uk-UA"/>
        </w:rPr>
        <w:t>Адміністративні витрати</w:t>
      </w:r>
    </w:p>
    <w:p>
      <w:pPr>
        <w:pStyle w:val="a4"/>
        <w:rPr>
          <w:sz w:val="24"/>
          <w:lang w:val="uk-UA"/>
        </w:rPr>
      </w:pPr>
      <w:r>
        <w:rPr>
          <w:sz w:val="24"/>
          <w:lang w:val="uk-UA"/>
        </w:rPr>
        <w:t>(1235705+44884)=1280589:365д.:25 підоп.х0,15=21,05грн.</w:t>
      </w:r>
    </w:p>
    <w:p>
      <w:pPr>
        <w:pStyle w:val="a4"/>
        <w:rPr>
          <w:sz w:val="24"/>
          <w:lang w:val="uk-UA"/>
        </w:rPr>
      </w:pPr>
      <w:r>
        <w:rPr>
          <w:sz w:val="24"/>
          <w:lang w:val="uk-UA"/>
        </w:rPr>
        <w:t>Вартість надання соціальної послуги: 1 ліжко-день</w:t>
      </w:r>
    </w:p>
    <w:p>
      <w:pPr>
        <w:pStyle w:val="a4"/>
        <w:rPr>
          <w:sz w:val="24"/>
          <w:lang w:val="uk-UA"/>
        </w:rPr>
      </w:pPr>
      <w:r>
        <w:rPr>
          <w:sz w:val="24"/>
          <w:lang w:val="uk-UA"/>
        </w:rPr>
        <w:t xml:space="preserve"> 215,93 + 21,05 = 236,98 грн.</w:t>
      </w:r>
    </w:p>
    <w:p>
      <w:pPr>
        <w:pStyle w:val="a4"/>
        <w:rPr>
          <w:sz w:val="24"/>
          <w:lang w:val="uk-UA"/>
        </w:rPr>
      </w:pPr>
    </w:p>
    <w:p>
      <w:pPr>
        <w:pStyle w:val="a4"/>
        <w:rPr>
          <w:sz w:val="24"/>
          <w:lang w:val="uk-UA"/>
        </w:rPr>
      </w:pPr>
      <w:bookmarkStart w:id="0" w:name="_GoBack"/>
      <w:bookmarkEnd w:id="0"/>
    </w:p>
    <w:p>
      <w:pPr>
        <w:pStyle w:val="a4"/>
      </w:pPr>
      <w:r>
        <w:rPr>
          <w:b/>
          <w:sz w:val="28"/>
          <w:lang w:val="uk-UA"/>
        </w:rPr>
        <w:t xml:space="preserve">Головний бухгалтер тер. центру:                                                  </w:t>
      </w:r>
      <w:proofErr w:type="spellStart"/>
      <w:r>
        <w:rPr>
          <w:b/>
          <w:sz w:val="28"/>
          <w:lang w:val="uk-UA"/>
        </w:rPr>
        <w:t>О.В.Чумак</w:t>
      </w:r>
      <w:proofErr w:type="spellEnd"/>
      <w:r>
        <w:t xml:space="preserve">                               </w:t>
      </w:r>
    </w:p>
    <w:p>
      <w:pPr>
        <w:pStyle w:val="a4"/>
        <w:jc w:val="right"/>
        <w:rPr>
          <w:rFonts w:ascii="Times New Roman" w:hAnsi="Times New Roman" w:cs="Times New Roman"/>
          <w:b/>
          <w:sz w:val="20"/>
          <w:szCs w:val="20"/>
        </w:rPr>
      </w:pPr>
    </w:p>
    <w:p>
      <w:pPr>
        <w:pStyle w:val="a4"/>
        <w:jc w:val="right"/>
        <w:rPr>
          <w:rFonts w:ascii="Times New Roman" w:hAnsi="Times New Roman" w:cs="Times New Roman"/>
          <w:b/>
          <w:sz w:val="20"/>
          <w:szCs w:val="20"/>
        </w:rPr>
      </w:pPr>
    </w:p>
    <w:p>
      <w:pPr>
        <w:pStyle w:val="a4"/>
        <w:jc w:val="right"/>
        <w:rPr>
          <w:rFonts w:ascii="Times New Roman" w:hAnsi="Times New Roman" w:cs="Times New Roman"/>
          <w:b/>
          <w:sz w:val="20"/>
          <w:szCs w:val="20"/>
        </w:rPr>
      </w:pPr>
    </w:p>
    <w:p>
      <w:pPr>
        <w:pStyle w:val="a4"/>
        <w:jc w:val="right"/>
        <w:rPr>
          <w:rFonts w:ascii="Times New Roman" w:hAnsi="Times New Roman" w:cs="Times New Roman"/>
          <w:b/>
          <w:sz w:val="20"/>
          <w:szCs w:val="20"/>
        </w:rPr>
      </w:pPr>
    </w:p>
    <w:p>
      <w:pPr>
        <w:pStyle w:val="a4"/>
        <w:jc w:val="right"/>
        <w:rPr>
          <w:rFonts w:ascii="Times New Roman" w:hAnsi="Times New Roman" w:cs="Times New Roman"/>
          <w:b/>
          <w:sz w:val="20"/>
          <w:szCs w:val="20"/>
        </w:rPr>
      </w:pPr>
    </w:p>
    <w:p>
      <w:pPr>
        <w:pStyle w:val="a4"/>
        <w:jc w:val="right"/>
        <w:rPr>
          <w:rFonts w:ascii="Times New Roman" w:hAnsi="Times New Roman" w:cs="Times New Roman"/>
          <w:b/>
          <w:sz w:val="20"/>
          <w:szCs w:val="20"/>
        </w:rPr>
      </w:pPr>
    </w:p>
    <w:p>
      <w:pPr>
        <w:pStyle w:val="a4"/>
        <w:jc w:val="right"/>
        <w:rPr>
          <w:rFonts w:ascii="Times New Roman" w:hAnsi="Times New Roman" w:cs="Times New Roman"/>
          <w:b/>
          <w:sz w:val="20"/>
          <w:szCs w:val="20"/>
        </w:rPr>
      </w:pPr>
    </w:p>
    <w:p>
      <w:pPr>
        <w:pStyle w:val="a4"/>
        <w:jc w:val="right"/>
        <w:rPr>
          <w:rFonts w:ascii="Times New Roman" w:hAnsi="Times New Roman" w:cs="Times New Roman"/>
          <w:b/>
          <w:sz w:val="20"/>
          <w:szCs w:val="20"/>
        </w:rPr>
      </w:pPr>
    </w:p>
    <w:p>
      <w:pPr>
        <w:pStyle w:val="a4"/>
        <w:jc w:val="right"/>
        <w:rPr>
          <w:rFonts w:ascii="Times New Roman" w:hAnsi="Times New Roman" w:cs="Times New Roman"/>
          <w:b/>
          <w:sz w:val="20"/>
          <w:szCs w:val="20"/>
        </w:rPr>
      </w:pPr>
    </w:p>
    <w:p>
      <w:pPr>
        <w:pStyle w:val="a4"/>
        <w:jc w:val="right"/>
        <w:rPr>
          <w:rFonts w:ascii="Times New Roman" w:hAnsi="Times New Roman" w:cs="Times New Roman"/>
          <w:b/>
          <w:sz w:val="20"/>
          <w:szCs w:val="20"/>
        </w:rPr>
      </w:pPr>
    </w:p>
    <w:p>
      <w:pPr>
        <w:pStyle w:val="a4"/>
        <w:jc w:val="right"/>
        <w:rPr>
          <w:rFonts w:ascii="Times New Roman" w:hAnsi="Times New Roman" w:cs="Times New Roman"/>
          <w:b/>
          <w:sz w:val="20"/>
          <w:szCs w:val="20"/>
        </w:rPr>
      </w:pPr>
    </w:p>
    <w:p>
      <w:pPr>
        <w:pStyle w:val="a4"/>
        <w:jc w:val="right"/>
        <w:rPr>
          <w:rFonts w:ascii="Times New Roman" w:hAnsi="Times New Roman" w:cs="Times New Roman"/>
          <w:b/>
          <w:sz w:val="20"/>
          <w:szCs w:val="20"/>
        </w:rPr>
      </w:pPr>
    </w:p>
    <w:sectPr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DEC948-241F-484F-849B-738D02F6A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ind w:left="452" w:hanging="117"/>
      <w:outlineLvl w:val="0"/>
    </w:pPr>
    <w:rPr>
      <w:rFonts w:ascii="Times New Roman" w:eastAsia="Calibri" w:hAnsi="Times New Roman" w:cs="Times New Roman"/>
      <w:b/>
      <w:bCs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semiHidden/>
    <w:unhideWhenUsed/>
    <w:pPr>
      <w:spacing w:after="0" w:line="240" w:lineRule="auto"/>
      <w:ind w:left="42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"/>
    <w:basedOn w:val="a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4"/>
      <w:lang w:val="uk-UA" w:eastAsia="ru-RU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Pr>
      <w:rFonts w:ascii="Times New Roman" w:eastAsia="Calibri" w:hAnsi="Times New Roman" w:cs="Times New Roman"/>
      <w:b/>
      <w:bCs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1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Директор</cp:lastModifiedBy>
  <cp:revision>48</cp:revision>
  <cp:lastPrinted>2020-12-28T11:56:00Z</cp:lastPrinted>
  <dcterms:created xsi:type="dcterms:W3CDTF">2019-12-06T07:11:00Z</dcterms:created>
  <dcterms:modified xsi:type="dcterms:W3CDTF">2021-03-12T12:41:00Z</dcterms:modified>
</cp:coreProperties>
</file>